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C0" w:rsidRPr="001C09C0" w:rsidRDefault="001C09C0" w:rsidP="001C09C0">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1C09C0">
        <w:rPr>
          <w:rFonts w:ascii="Georgia" w:hAnsi="Georgia" w:cs="Arial"/>
          <w:b w:val="0"/>
          <w:bCs w:val="0"/>
          <w:color w:val="B92517"/>
          <w:spacing w:val="-5"/>
          <w:sz w:val="58"/>
          <w:szCs w:val="58"/>
          <w:lang w:val="es-ES"/>
        </w:rPr>
        <w:t>C142 - Convenio sobre el desarrollo de los recursos humanos, 1975 (núm. 142)</w:t>
      </w:r>
    </w:p>
    <w:p w:rsidR="001C09C0" w:rsidRPr="001C09C0" w:rsidRDefault="001C09C0" w:rsidP="001C09C0">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1C09C0">
        <w:rPr>
          <w:rFonts w:ascii="Arial" w:hAnsi="Arial" w:cs="Arial"/>
          <w:b w:val="0"/>
          <w:bCs w:val="0"/>
          <w:i/>
          <w:iCs/>
          <w:color w:val="333333"/>
          <w:sz w:val="41"/>
          <w:szCs w:val="41"/>
          <w:lang w:val="es-ES"/>
        </w:rPr>
        <w:t>Convenio sobre la orientación profesional y la formación profesional en el desarrollo de los recursos humanos (Entrada en vigor: 19 julio 1977)</w:t>
      </w:r>
      <w:r w:rsidRPr="001C09C0">
        <w:rPr>
          <w:rStyle w:val="secondline"/>
          <w:rFonts w:ascii="Arial" w:hAnsi="Arial" w:cs="Arial"/>
          <w:b w:val="0"/>
          <w:bCs w:val="0"/>
          <w:i/>
          <w:iCs/>
          <w:color w:val="333333"/>
          <w:sz w:val="33"/>
          <w:szCs w:val="33"/>
          <w:lang w:val="es-ES"/>
        </w:rPr>
        <w:t xml:space="preserve">Adopción: Ginebra, 60ª reunión </w:t>
      </w:r>
      <w:proofErr w:type="spellStart"/>
      <w:r w:rsidRPr="001C09C0">
        <w:rPr>
          <w:rStyle w:val="secondline"/>
          <w:rFonts w:ascii="Arial" w:hAnsi="Arial" w:cs="Arial"/>
          <w:b w:val="0"/>
          <w:bCs w:val="0"/>
          <w:i/>
          <w:iCs/>
          <w:color w:val="333333"/>
          <w:sz w:val="33"/>
          <w:szCs w:val="33"/>
          <w:lang w:val="es-ES"/>
        </w:rPr>
        <w:t>CIT</w:t>
      </w:r>
      <w:proofErr w:type="spellEnd"/>
      <w:r w:rsidRPr="001C09C0">
        <w:rPr>
          <w:rStyle w:val="secondline"/>
          <w:rFonts w:ascii="Arial" w:hAnsi="Arial" w:cs="Arial"/>
          <w:b w:val="0"/>
          <w:bCs w:val="0"/>
          <w:i/>
          <w:iCs/>
          <w:color w:val="333333"/>
          <w:sz w:val="33"/>
          <w:szCs w:val="33"/>
          <w:lang w:val="es-ES"/>
        </w:rPr>
        <w:t xml:space="preserve"> (23 junio 1975) - Estatus: Instrumento actualizado (Convenios Técnicos).</w:t>
      </w:r>
    </w:p>
    <w:p w:rsidR="001C09C0" w:rsidRPr="001C09C0" w:rsidRDefault="001C09C0" w:rsidP="001C09C0">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1C09C0">
        <w:rPr>
          <w:rFonts w:ascii="Georgia" w:hAnsi="Georgia" w:cs="Arial"/>
          <w:color w:val="B92517"/>
          <w:sz w:val="23"/>
          <w:szCs w:val="23"/>
          <w:lang w:val="es-ES"/>
        </w:rPr>
        <w:t>Preámbulo</w:t>
      </w:r>
    </w:p>
    <w:p w:rsidR="001C09C0" w:rsidRPr="001C09C0" w:rsidRDefault="001C09C0" w:rsidP="001C09C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1C09C0">
        <w:rPr>
          <w:rFonts w:ascii="Georgia" w:hAnsi="Georgia" w:cs="Arial"/>
          <w:color w:val="333333"/>
          <w:sz w:val="18"/>
          <w:szCs w:val="18"/>
          <w:lang w:val="es-ES"/>
        </w:rPr>
        <w:t>La Conferencia General de la Organización Internacional del Trabajo:</w:t>
      </w:r>
    </w:p>
    <w:p w:rsidR="001C09C0" w:rsidRPr="001C09C0" w:rsidRDefault="001C09C0" w:rsidP="001C09C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1C09C0">
        <w:rPr>
          <w:rFonts w:ascii="Georgia" w:hAnsi="Georgia" w:cs="Arial"/>
          <w:color w:val="333333"/>
          <w:sz w:val="18"/>
          <w:szCs w:val="18"/>
          <w:lang w:val="es-ES"/>
        </w:rPr>
        <w:t>Convocada en Ginebra por el Consejo de Administración de la Oficina Internacional del Trabajo, y congregada en dicha ciudad el 4 junio 1975 en su sexagésima reunión;</w:t>
      </w:r>
    </w:p>
    <w:p w:rsidR="001C09C0" w:rsidRPr="001C09C0" w:rsidRDefault="001C09C0" w:rsidP="001C09C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1C09C0">
        <w:rPr>
          <w:rFonts w:ascii="Georgia" w:hAnsi="Georgia" w:cs="Arial"/>
          <w:color w:val="333333"/>
          <w:sz w:val="18"/>
          <w:szCs w:val="18"/>
          <w:lang w:val="es-ES"/>
        </w:rPr>
        <w:t>Después de haber decidido adoptar diversas proposiciones relativas al desarrollo de los recursos humanos: orientación profesional y formación profesional, cuestión que constituye el sexto punto del orden del día de la reunión, y</w:t>
      </w:r>
    </w:p>
    <w:p w:rsidR="001C09C0" w:rsidRPr="001C09C0" w:rsidRDefault="001C09C0" w:rsidP="001C09C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1C09C0">
        <w:rPr>
          <w:rFonts w:ascii="Georgia" w:hAnsi="Georgia" w:cs="Arial"/>
          <w:color w:val="333333"/>
          <w:sz w:val="18"/>
          <w:szCs w:val="18"/>
          <w:lang w:val="es-ES"/>
        </w:rPr>
        <w:t>Después de haber decidido que dichas proposiciones revistan la forma de un convenio internacional,</w:t>
      </w:r>
    </w:p>
    <w:p w:rsidR="001C09C0" w:rsidRPr="001C09C0" w:rsidRDefault="001C09C0" w:rsidP="001C09C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1C09C0">
        <w:rPr>
          <w:rFonts w:ascii="Georgia" w:hAnsi="Georgia" w:cs="Arial"/>
          <w:color w:val="333333"/>
          <w:sz w:val="18"/>
          <w:szCs w:val="18"/>
          <w:lang w:val="es-ES"/>
        </w:rPr>
        <w:t>adopta, con fecha veintitrés de junio de mil novecientos setenta y cinco, el presente Convenio, que podrá ser citado como el Convenio sobre desarrollo de los recursos humanos, 1975:</w:t>
      </w:r>
    </w:p>
    <w:p w:rsidR="001C09C0" w:rsidRDefault="001C09C0" w:rsidP="001C09C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w:t>
      </w:r>
    </w:p>
    <w:p w:rsidR="001C09C0" w:rsidRPr="001C09C0" w:rsidRDefault="001C09C0" w:rsidP="001C09C0">
      <w:pPr>
        <w:numPr>
          <w:ilvl w:val="0"/>
          <w:numId w:val="29"/>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1C09C0">
        <w:rPr>
          <w:rFonts w:ascii="Georgia" w:hAnsi="Georgia" w:cs="Arial"/>
          <w:color w:val="333333"/>
          <w:sz w:val="18"/>
          <w:szCs w:val="18"/>
          <w:lang w:val="es-ES"/>
        </w:rPr>
        <w:t>1. Todo Miembro deberá adoptar y llevar a la práctica políticas y programas completos y coordinados en el campo de la orientación y formación profesionales, estableciendo una estrecha relación entre este campo y el empleo, en particular mediante los servicios públicos del empleo.</w:t>
      </w:r>
    </w:p>
    <w:p w:rsidR="001C09C0" w:rsidRPr="001C09C0" w:rsidRDefault="001C09C0" w:rsidP="001C09C0">
      <w:pPr>
        <w:numPr>
          <w:ilvl w:val="0"/>
          <w:numId w:val="29"/>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1C09C0">
        <w:rPr>
          <w:rFonts w:ascii="Georgia" w:hAnsi="Georgia" w:cs="Arial"/>
          <w:color w:val="333333"/>
          <w:sz w:val="18"/>
          <w:szCs w:val="18"/>
          <w:lang w:val="es-ES"/>
        </w:rPr>
        <w:t>2. Estas políticas y estos programas deberán tener en cuenta:</w:t>
      </w:r>
    </w:p>
    <w:p w:rsidR="001C09C0" w:rsidRPr="001C09C0" w:rsidRDefault="001C09C0" w:rsidP="001C09C0">
      <w:pPr>
        <w:numPr>
          <w:ilvl w:val="1"/>
          <w:numId w:val="29"/>
        </w:numPr>
        <w:shd w:val="clear" w:color="auto" w:fill="FFFFFF"/>
        <w:spacing w:after="144" w:line="408" w:lineRule="atLeast"/>
        <w:ind w:left="480"/>
        <w:rPr>
          <w:rFonts w:ascii="Georgia" w:hAnsi="Georgia" w:cs="Arial"/>
          <w:color w:val="333333"/>
          <w:sz w:val="18"/>
          <w:szCs w:val="18"/>
          <w:lang w:val="es-ES"/>
        </w:rPr>
      </w:pPr>
      <w:r w:rsidRPr="001C09C0">
        <w:rPr>
          <w:rFonts w:ascii="Georgia" w:hAnsi="Georgia" w:cs="Arial"/>
          <w:color w:val="333333"/>
          <w:sz w:val="18"/>
          <w:szCs w:val="18"/>
          <w:lang w:val="es-ES"/>
        </w:rPr>
        <w:lastRenderedPageBreak/>
        <w:t>(a) las necesidades, posibilidades y problemas en materia de empleo, tanto a nivel regional como a nivel nacional;</w:t>
      </w:r>
    </w:p>
    <w:p w:rsidR="001C09C0" w:rsidRPr="001C09C0" w:rsidRDefault="001C09C0" w:rsidP="001C09C0">
      <w:pPr>
        <w:numPr>
          <w:ilvl w:val="1"/>
          <w:numId w:val="29"/>
        </w:numPr>
        <w:shd w:val="clear" w:color="auto" w:fill="FFFFFF"/>
        <w:spacing w:after="144" w:line="408" w:lineRule="atLeast"/>
        <w:ind w:left="480"/>
        <w:rPr>
          <w:rFonts w:ascii="Georgia" w:hAnsi="Georgia" w:cs="Arial"/>
          <w:color w:val="333333"/>
          <w:sz w:val="18"/>
          <w:szCs w:val="18"/>
          <w:lang w:val="es-ES"/>
        </w:rPr>
      </w:pPr>
      <w:r w:rsidRPr="001C09C0">
        <w:rPr>
          <w:rFonts w:ascii="Georgia" w:hAnsi="Georgia" w:cs="Arial"/>
          <w:color w:val="333333"/>
          <w:sz w:val="18"/>
          <w:szCs w:val="18"/>
          <w:lang w:val="es-ES"/>
        </w:rPr>
        <w:t>(b) la fase y el nivel de desarrollo económico, social y cultural;</w:t>
      </w:r>
    </w:p>
    <w:p w:rsidR="001C09C0" w:rsidRPr="001C09C0" w:rsidRDefault="001C09C0" w:rsidP="001C09C0">
      <w:pPr>
        <w:numPr>
          <w:ilvl w:val="1"/>
          <w:numId w:val="29"/>
        </w:numPr>
        <w:shd w:val="clear" w:color="auto" w:fill="FFFFFF"/>
        <w:spacing w:after="144" w:line="408" w:lineRule="atLeast"/>
        <w:ind w:left="480"/>
        <w:rPr>
          <w:rFonts w:ascii="Georgia" w:hAnsi="Georgia" w:cs="Arial"/>
          <w:color w:val="333333"/>
          <w:sz w:val="18"/>
          <w:szCs w:val="18"/>
          <w:lang w:val="es-ES"/>
        </w:rPr>
      </w:pPr>
      <w:r w:rsidRPr="001C09C0">
        <w:rPr>
          <w:rFonts w:ascii="Georgia" w:hAnsi="Georgia" w:cs="Arial"/>
          <w:color w:val="333333"/>
          <w:sz w:val="18"/>
          <w:szCs w:val="18"/>
          <w:lang w:val="es-ES"/>
        </w:rPr>
        <w:t>(c) las relaciones entre el desarrollo de los recursos humanos y otros objetivos económicos, sociales y culturales.</w:t>
      </w:r>
    </w:p>
    <w:p w:rsidR="001C09C0" w:rsidRPr="001C09C0" w:rsidRDefault="001C09C0" w:rsidP="001C09C0">
      <w:pPr>
        <w:numPr>
          <w:ilvl w:val="0"/>
          <w:numId w:val="29"/>
        </w:numPr>
        <w:shd w:val="clear" w:color="auto" w:fill="FFFFFF"/>
        <w:spacing w:after="144" w:line="408" w:lineRule="atLeast"/>
        <w:ind w:left="0"/>
        <w:rPr>
          <w:rFonts w:ascii="Georgia" w:hAnsi="Georgia" w:cs="Arial"/>
          <w:color w:val="333333"/>
          <w:sz w:val="18"/>
          <w:szCs w:val="18"/>
          <w:lang w:val="es-ES"/>
        </w:rPr>
      </w:pPr>
      <w:bookmarkStart w:id="3" w:name="A1P3"/>
      <w:bookmarkEnd w:id="3"/>
      <w:r w:rsidRPr="001C09C0">
        <w:rPr>
          <w:rFonts w:ascii="Georgia" w:hAnsi="Georgia" w:cs="Arial"/>
          <w:color w:val="333333"/>
          <w:sz w:val="18"/>
          <w:szCs w:val="18"/>
          <w:lang w:val="es-ES"/>
        </w:rPr>
        <w:t>3. Estas políticas y estos programas deberán aplicarse mediante métodos adaptados a las condiciones nacionales.</w:t>
      </w:r>
    </w:p>
    <w:p w:rsidR="001C09C0" w:rsidRPr="001C09C0" w:rsidRDefault="001C09C0" w:rsidP="001C09C0">
      <w:pPr>
        <w:numPr>
          <w:ilvl w:val="0"/>
          <w:numId w:val="29"/>
        </w:numPr>
        <w:shd w:val="clear" w:color="auto" w:fill="FFFFFF"/>
        <w:spacing w:after="144" w:line="408" w:lineRule="atLeast"/>
        <w:ind w:left="0"/>
        <w:rPr>
          <w:rFonts w:ascii="Georgia" w:hAnsi="Georgia" w:cs="Arial"/>
          <w:color w:val="333333"/>
          <w:sz w:val="18"/>
          <w:szCs w:val="18"/>
          <w:lang w:val="es-ES"/>
        </w:rPr>
      </w:pPr>
      <w:bookmarkStart w:id="4" w:name="A1P4"/>
      <w:bookmarkEnd w:id="4"/>
      <w:r w:rsidRPr="001C09C0">
        <w:rPr>
          <w:rFonts w:ascii="Georgia" w:hAnsi="Georgia" w:cs="Arial"/>
          <w:color w:val="333333"/>
          <w:sz w:val="18"/>
          <w:szCs w:val="18"/>
          <w:lang w:val="es-ES"/>
        </w:rPr>
        <w:t>4. Estas políticas y estos programas tendrán por mira mejorar la aptitud del individuo de comprender su medio de trabajo y el medio social y de influir, individual o colectivamente, sobre éstos.</w:t>
      </w:r>
    </w:p>
    <w:p w:rsidR="001C09C0" w:rsidRPr="001C09C0" w:rsidRDefault="001C09C0" w:rsidP="001C09C0">
      <w:pPr>
        <w:numPr>
          <w:ilvl w:val="0"/>
          <w:numId w:val="29"/>
        </w:numPr>
        <w:shd w:val="clear" w:color="auto" w:fill="FFFFFF"/>
        <w:spacing w:after="144" w:line="408" w:lineRule="atLeast"/>
        <w:ind w:left="0"/>
        <w:rPr>
          <w:rFonts w:ascii="Georgia" w:hAnsi="Georgia" w:cs="Arial"/>
          <w:color w:val="333333"/>
          <w:sz w:val="18"/>
          <w:szCs w:val="18"/>
          <w:lang w:val="es-ES"/>
        </w:rPr>
      </w:pPr>
      <w:bookmarkStart w:id="5" w:name="A1P5"/>
      <w:bookmarkEnd w:id="5"/>
      <w:r w:rsidRPr="001C09C0">
        <w:rPr>
          <w:rFonts w:ascii="Georgia" w:hAnsi="Georgia" w:cs="Arial"/>
          <w:color w:val="333333"/>
          <w:sz w:val="18"/>
          <w:szCs w:val="18"/>
          <w:lang w:val="es-ES"/>
        </w:rPr>
        <w:t>5. Estas políticas y estos programas deberán alentar y ayudar a todas las personas, en un pie de igualdad y sin discriminación alguna, a desarrollar y utilizar sus aptitudes para el trabajo en su propio interés y de acuerdo con sus aspiraciones, teniendo presentes al mismo tiempo las necesidades de la sociedad.</w:t>
      </w:r>
    </w:p>
    <w:p w:rsidR="001C09C0" w:rsidRPr="001C09C0" w:rsidRDefault="001C09C0" w:rsidP="001C09C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 w:name="A2"/>
      <w:bookmarkEnd w:id="6"/>
      <w:r w:rsidRPr="001C09C0">
        <w:rPr>
          <w:rFonts w:ascii="Georgia" w:hAnsi="Georgia" w:cs="Arial"/>
          <w:i/>
          <w:iCs/>
          <w:color w:val="333333"/>
          <w:sz w:val="21"/>
          <w:szCs w:val="21"/>
          <w:lang w:val="es-ES"/>
        </w:rPr>
        <w:t>Artículo 2</w:t>
      </w:r>
    </w:p>
    <w:p w:rsidR="001C09C0" w:rsidRPr="001C09C0" w:rsidRDefault="001C09C0" w:rsidP="001C09C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1C09C0">
        <w:rPr>
          <w:rFonts w:ascii="Georgia" w:hAnsi="Georgia" w:cs="Arial"/>
          <w:color w:val="333333"/>
          <w:sz w:val="18"/>
          <w:szCs w:val="18"/>
          <w:lang w:val="es-ES"/>
        </w:rPr>
        <w:t>Para alcanzar los objetivos arriba mencionados, todo Miembro deberá establecer y desarrollar sistemas abiertos, flexibles y complementarios de enseñanza general técnica y profesional, así como de orientación escolar y profesional y de formación profesional, tanto dentro del sistema oficial de enseñanza como fuera de éste.</w:t>
      </w:r>
    </w:p>
    <w:p w:rsidR="001C09C0" w:rsidRDefault="001C09C0" w:rsidP="001C09C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 w:name="A3"/>
      <w:bookmarkEnd w:id="7"/>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3</w:t>
      </w:r>
    </w:p>
    <w:p w:rsidR="001C09C0" w:rsidRPr="001C09C0" w:rsidRDefault="001C09C0" w:rsidP="001C09C0">
      <w:pPr>
        <w:numPr>
          <w:ilvl w:val="0"/>
          <w:numId w:val="30"/>
        </w:numPr>
        <w:shd w:val="clear" w:color="auto" w:fill="FFFFFF"/>
        <w:spacing w:after="144" w:line="408" w:lineRule="atLeast"/>
        <w:ind w:left="0"/>
        <w:rPr>
          <w:rFonts w:ascii="Georgia" w:hAnsi="Georgia" w:cs="Arial"/>
          <w:color w:val="333333"/>
          <w:sz w:val="18"/>
          <w:szCs w:val="18"/>
          <w:lang w:val="es-ES"/>
        </w:rPr>
      </w:pPr>
      <w:bookmarkStart w:id="8" w:name="A3P1"/>
      <w:bookmarkEnd w:id="8"/>
      <w:r w:rsidRPr="001C09C0">
        <w:rPr>
          <w:rFonts w:ascii="Georgia" w:hAnsi="Georgia" w:cs="Arial"/>
          <w:color w:val="333333"/>
          <w:sz w:val="18"/>
          <w:szCs w:val="18"/>
          <w:lang w:val="es-ES"/>
        </w:rPr>
        <w:t>1. Todo Miembro deberá ampliar gradualmente sus sistemas de orientación profesional, incluida la información permanente sobre el empleo, a fin de asegurar que se pongan a disposición de todos los niños, adolescentes y adultos una información completa y una orientación tan amplia como sea posible, inclusive por medio de programas apropiados en el caso de los minusválidos.</w:t>
      </w:r>
    </w:p>
    <w:p w:rsidR="001C09C0" w:rsidRPr="001C09C0" w:rsidRDefault="001C09C0" w:rsidP="001C09C0">
      <w:pPr>
        <w:numPr>
          <w:ilvl w:val="0"/>
          <w:numId w:val="30"/>
        </w:numPr>
        <w:shd w:val="clear" w:color="auto" w:fill="FFFFFF"/>
        <w:spacing w:after="144" w:line="408" w:lineRule="atLeast"/>
        <w:ind w:left="0"/>
        <w:rPr>
          <w:rFonts w:ascii="Georgia" w:hAnsi="Georgia" w:cs="Arial"/>
          <w:color w:val="333333"/>
          <w:sz w:val="18"/>
          <w:szCs w:val="18"/>
          <w:lang w:val="es-ES"/>
        </w:rPr>
      </w:pPr>
      <w:bookmarkStart w:id="9" w:name="A3P2"/>
      <w:bookmarkEnd w:id="9"/>
      <w:r w:rsidRPr="001C09C0">
        <w:rPr>
          <w:rFonts w:ascii="Georgia" w:hAnsi="Georgia" w:cs="Arial"/>
          <w:color w:val="333333"/>
          <w:sz w:val="18"/>
          <w:szCs w:val="18"/>
          <w:lang w:val="es-ES"/>
        </w:rPr>
        <w:t>2. Esta información y esta orientación deberán abarcar la elección de una ocupación, la formación profesional y las oportunidades educativas conexas, la situación y perspectivas de empleo, las posibilidades de promoción, las condiciones de trabajo, la seguridad y la higiene en el trabajo, y otros aspectos de la vida activa en los diversos sectores de la actividad económica, social y cultural, y a todos los niveles de responsabilidad.</w:t>
      </w:r>
    </w:p>
    <w:p w:rsidR="001C09C0" w:rsidRPr="001C09C0" w:rsidRDefault="001C09C0" w:rsidP="001C09C0">
      <w:pPr>
        <w:numPr>
          <w:ilvl w:val="0"/>
          <w:numId w:val="30"/>
        </w:numPr>
        <w:shd w:val="clear" w:color="auto" w:fill="FFFFFF"/>
        <w:spacing w:after="144" w:line="408" w:lineRule="atLeast"/>
        <w:ind w:left="0"/>
        <w:rPr>
          <w:rFonts w:ascii="Georgia" w:hAnsi="Georgia" w:cs="Arial"/>
          <w:color w:val="333333"/>
          <w:sz w:val="18"/>
          <w:szCs w:val="18"/>
          <w:lang w:val="es-ES"/>
        </w:rPr>
      </w:pPr>
      <w:bookmarkStart w:id="10" w:name="A3P3"/>
      <w:bookmarkEnd w:id="10"/>
      <w:r w:rsidRPr="001C09C0">
        <w:rPr>
          <w:rFonts w:ascii="Georgia" w:hAnsi="Georgia" w:cs="Arial"/>
          <w:color w:val="333333"/>
          <w:sz w:val="18"/>
          <w:szCs w:val="18"/>
          <w:lang w:val="es-ES"/>
        </w:rPr>
        <w:t>3. Esta información y esta orientación deberán ser completadas con información sobre los aspectos generales de los contratos colectivos y los derechos y obligaciones de todos los interesados en virtud de la legislación del trabajo; esta última información deberá suministrarse de acuerdo con la ley y la práctica nacionales habida cuenta de las respectivas funciones y tareas de las organizaciones de trabajadores y de empleadores interesadas.</w:t>
      </w:r>
    </w:p>
    <w:p w:rsidR="001C09C0" w:rsidRPr="001C09C0" w:rsidRDefault="001C09C0" w:rsidP="001C09C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 w:name="A4"/>
      <w:bookmarkEnd w:id="11"/>
      <w:r w:rsidRPr="001C09C0">
        <w:rPr>
          <w:rFonts w:ascii="Georgia" w:hAnsi="Georgia" w:cs="Arial"/>
          <w:i/>
          <w:iCs/>
          <w:color w:val="333333"/>
          <w:sz w:val="21"/>
          <w:szCs w:val="21"/>
          <w:lang w:val="es-ES"/>
        </w:rPr>
        <w:lastRenderedPageBreak/>
        <w:t>Artículo 4</w:t>
      </w:r>
    </w:p>
    <w:p w:rsidR="001C09C0" w:rsidRPr="001C09C0" w:rsidRDefault="001C09C0" w:rsidP="001C09C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1C09C0">
        <w:rPr>
          <w:rFonts w:ascii="Georgia" w:hAnsi="Georgia" w:cs="Arial"/>
          <w:color w:val="333333"/>
          <w:sz w:val="18"/>
          <w:szCs w:val="18"/>
          <w:lang w:val="es-ES"/>
        </w:rPr>
        <w:t>Todo Miembro deberá ampliar, adaptar y armonizar gradualmente sus sistemas de formación profesional en forma que cubran las necesidades de formación profesional permanente de los jóvenes y de los adultos en todos los sectores de la economía y ramas de actividad económica y a todos los niveles de calificación y de responsabilidad.</w:t>
      </w:r>
    </w:p>
    <w:p w:rsidR="001C09C0" w:rsidRPr="001C09C0" w:rsidRDefault="001C09C0" w:rsidP="001C09C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5"/>
      <w:bookmarkEnd w:id="12"/>
      <w:r w:rsidRPr="001C09C0">
        <w:rPr>
          <w:rFonts w:ascii="Georgia" w:hAnsi="Georgia" w:cs="Arial"/>
          <w:i/>
          <w:iCs/>
          <w:color w:val="333333"/>
          <w:sz w:val="21"/>
          <w:szCs w:val="21"/>
          <w:lang w:val="es-ES"/>
        </w:rPr>
        <w:t>Artículo 5</w:t>
      </w:r>
    </w:p>
    <w:p w:rsidR="001C09C0" w:rsidRPr="001C09C0" w:rsidRDefault="001C09C0" w:rsidP="001C09C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1C09C0">
        <w:rPr>
          <w:rFonts w:ascii="Georgia" w:hAnsi="Georgia" w:cs="Arial"/>
          <w:color w:val="333333"/>
          <w:sz w:val="18"/>
          <w:szCs w:val="18"/>
          <w:lang w:val="es-ES"/>
        </w:rPr>
        <w:t>Las políticas y programas de orientación profesional y formación profesional deberán establecerse e implantarse en colaboración con las organizaciones de empleadores y de trabajadores y, según los casos y de conformidad con la ley y la práctica nacionales, con otros organismos interesados.</w:t>
      </w:r>
    </w:p>
    <w:p w:rsidR="001C09C0" w:rsidRPr="001C09C0" w:rsidRDefault="001C09C0" w:rsidP="001C09C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3" w:name="A6"/>
      <w:bookmarkEnd w:id="13"/>
      <w:r w:rsidRPr="001C09C0">
        <w:rPr>
          <w:rFonts w:ascii="Georgia" w:hAnsi="Georgia" w:cs="Arial"/>
          <w:i/>
          <w:iCs/>
          <w:color w:val="333333"/>
          <w:sz w:val="21"/>
          <w:szCs w:val="21"/>
          <w:lang w:val="es-ES"/>
        </w:rPr>
        <w:t>Artículo 6</w:t>
      </w:r>
    </w:p>
    <w:p w:rsidR="001C09C0" w:rsidRPr="001C09C0" w:rsidRDefault="001C09C0" w:rsidP="001C09C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1C09C0">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1C09C0" w:rsidRDefault="001C09C0" w:rsidP="001C09C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4" w:name="A7"/>
      <w:bookmarkEnd w:id="1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7</w:t>
      </w:r>
    </w:p>
    <w:p w:rsidR="001C09C0" w:rsidRPr="001C09C0" w:rsidRDefault="001C09C0" w:rsidP="001C09C0">
      <w:pPr>
        <w:numPr>
          <w:ilvl w:val="0"/>
          <w:numId w:val="31"/>
        </w:numPr>
        <w:shd w:val="clear" w:color="auto" w:fill="FFFFFF"/>
        <w:spacing w:after="144" w:line="408" w:lineRule="atLeast"/>
        <w:ind w:left="0"/>
        <w:rPr>
          <w:rFonts w:ascii="Georgia" w:hAnsi="Georgia" w:cs="Arial"/>
          <w:color w:val="333333"/>
          <w:sz w:val="18"/>
          <w:szCs w:val="18"/>
          <w:lang w:val="es-ES"/>
        </w:rPr>
      </w:pPr>
      <w:bookmarkStart w:id="15" w:name="A7P1"/>
      <w:bookmarkEnd w:id="15"/>
      <w:r w:rsidRPr="001C09C0">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1C09C0" w:rsidRPr="001C09C0" w:rsidRDefault="001C09C0" w:rsidP="001C09C0">
      <w:pPr>
        <w:numPr>
          <w:ilvl w:val="0"/>
          <w:numId w:val="31"/>
        </w:numPr>
        <w:shd w:val="clear" w:color="auto" w:fill="FFFFFF"/>
        <w:spacing w:after="144" w:line="408" w:lineRule="atLeast"/>
        <w:ind w:left="0"/>
        <w:rPr>
          <w:rFonts w:ascii="Georgia" w:hAnsi="Georgia" w:cs="Arial"/>
          <w:color w:val="333333"/>
          <w:sz w:val="18"/>
          <w:szCs w:val="18"/>
          <w:lang w:val="es-ES"/>
        </w:rPr>
      </w:pPr>
      <w:bookmarkStart w:id="16" w:name="A7P2"/>
      <w:bookmarkEnd w:id="16"/>
      <w:r w:rsidRPr="001C09C0">
        <w:rPr>
          <w:rFonts w:ascii="Georgia" w:hAnsi="Georgia" w:cs="Arial"/>
          <w:color w:val="333333"/>
          <w:sz w:val="18"/>
          <w:szCs w:val="18"/>
          <w:lang w:val="es-ES"/>
        </w:rPr>
        <w:t>2. Entrará en vigor doce meses después de la fecha en que las ratificaciones de dos Miembros hayan sido registradas por el Director General.</w:t>
      </w:r>
    </w:p>
    <w:p w:rsidR="001C09C0" w:rsidRPr="001C09C0" w:rsidRDefault="001C09C0" w:rsidP="001C09C0">
      <w:pPr>
        <w:numPr>
          <w:ilvl w:val="0"/>
          <w:numId w:val="31"/>
        </w:numPr>
        <w:shd w:val="clear" w:color="auto" w:fill="FFFFFF"/>
        <w:spacing w:after="144" w:line="408" w:lineRule="atLeast"/>
        <w:ind w:left="0"/>
        <w:rPr>
          <w:rFonts w:ascii="Georgia" w:hAnsi="Georgia" w:cs="Arial"/>
          <w:color w:val="333333"/>
          <w:sz w:val="18"/>
          <w:szCs w:val="18"/>
          <w:lang w:val="es-ES"/>
        </w:rPr>
      </w:pPr>
      <w:bookmarkStart w:id="17" w:name="A7P3"/>
      <w:bookmarkEnd w:id="17"/>
      <w:r w:rsidRPr="001C09C0">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1C09C0" w:rsidRDefault="001C09C0" w:rsidP="001C09C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8" w:name="A8"/>
      <w:bookmarkEnd w:id="18"/>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8</w:t>
      </w:r>
    </w:p>
    <w:p w:rsidR="001C09C0" w:rsidRPr="001C09C0" w:rsidRDefault="001C09C0" w:rsidP="001C09C0">
      <w:pPr>
        <w:numPr>
          <w:ilvl w:val="0"/>
          <w:numId w:val="32"/>
        </w:numPr>
        <w:shd w:val="clear" w:color="auto" w:fill="FFFFFF"/>
        <w:spacing w:after="144" w:line="408" w:lineRule="atLeast"/>
        <w:ind w:left="0"/>
        <w:rPr>
          <w:rFonts w:ascii="Georgia" w:hAnsi="Georgia" w:cs="Arial"/>
          <w:color w:val="333333"/>
          <w:sz w:val="18"/>
          <w:szCs w:val="18"/>
          <w:lang w:val="es-ES"/>
        </w:rPr>
      </w:pPr>
      <w:bookmarkStart w:id="19" w:name="A8P1"/>
      <w:bookmarkEnd w:id="19"/>
      <w:r w:rsidRPr="001C09C0">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1C09C0" w:rsidRPr="001C09C0" w:rsidRDefault="001C09C0" w:rsidP="001C09C0">
      <w:pPr>
        <w:numPr>
          <w:ilvl w:val="0"/>
          <w:numId w:val="32"/>
        </w:numPr>
        <w:shd w:val="clear" w:color="auto" w:fill="FFFFFF"/>
        <w:spacing w:after="144" w:line="408" w:lineRule="atLeast"/>
        <w:ind w:left="0"/>
        <w:rPr>
          <w:rFonts w:ascii="Georgia" w:hAnsi="Georgia" w:cs="Arial"/>
          <w:color w:val="333333"/>
          <w:sz w:val="18"/>
          <w:szCs w:val="18"/>
          <w:lang w:val="es-ES"/>
        </w:rPr>
      </w:pPr>
      <w:bookmarkStart w:id="20" w:name="A8P2"/>
      <w:bookmarkEnd w:id="20"/>
      <w:r w:rsidRPr="001C09C0">
        <w:rPr>
          <w:rFonts w:ascii="Georgia"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1C09C0" w:rsidRDefault="001C09C0" w:rsidP="001C09C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1" w:name="A9"/>
      <w:bookmarkEnd w:id="21"/>
      <w:proofErr w:type="spellStart"/>
      <w:r>
        <w:rPr>
          <w:rFonts w:ascii="Georgia" w:hAnsi="Georgia" w:cs="Arial"/>
          <w:i/>
          <w:iCs/>
          <w:color w:val="333333"/>
          <w:sz w:val="21"/>
          <w:szCs w:val="21"/>
        </w:rPr>
        <w:lastRenderedPageBreak/>
        <w:t>Artículo</w:t>
      </w:r>
      <w:proofErr w:type="spellEnd"/>
      <w:r>
        <w:rPr>
          <w:rFonts w:ascii="Georgia" w:hAnsi="Georgia" w:cs="Arial"/>
          <w:i/>
          <w:iCs/>
          <w:color w:val="333333"/>
          <w:sz w:val="21"/>
          <w:szCs w:val="21"/>
        </w:rPr>
        <w:t xml:space="preserve"> 9</w:t>
      </w:r>
    </w:p>
    <w:p w:rsidR="001C09C0" w:rsidRPr="001C09C0" w:rsidRDefault="001C09C0" w:rsidP="001C09C0">
      <w:pPr>
        <w:numPr>
          <w:ilvl w:val="0"/>
          <w:numId w:val="33"/>
        </w:numPr>
        <w:shd w:val="clear" w:color="auto" w:fill="FFFFFF"/>
        <w:spacing w:after="144" w:line="408" w:lineRule="atLeast"/>
        <w:ind w:left="0"/>
        <w:rPr>
          <w:rFonts w:ascii="Georgia" w:hAnsi="Georgia" w:cs="Arial"/>
          <w:color w:val="333333"/>
          <w:sz w:val="18"/>
          <w:szCs w:val="18"/>
          <w:lang w:val="es-ES"/>
        </w:rPr>
      </w:pPr>
      <w:bookmarkStart w:id="22" w:name="A9P1"/>
      <w:bookmarkEnd w:id="22"/>
      <w:r w:rsidRPr="001C09C0">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1C09C0" w:rsidRPr="001C09C0" w:rsidRDefault="001C09C0" w:rsidP="001C09C0">
      <w:pPr>
        <w:numPr>
          <w:ilvl w:val="0"/>
          <w:numId w:val="33"/>
        </w:numPr>
        <w:shd w:val="clear" w:color="auto" w:fill="FFFFFF"/>
        <w:spacing w:after="144" w:line="408" w:lineRule="atLeast"/>
        <w:ind w:left="0"/>
        <w:rPr>
          <w:rFonts w:ascii="Georgia" w:hAnsi="Georgia" w:cs="Arial"/>
          <w:color w:val="333333"/>
          <w:sz w:val="18"/>
          <w:szCs w:val="18"/>
          <w:lang w:val="es-ES"/>
        </w:rPr>
      </w:pPr>
      <w:bookmarkStart w:id="23" w:name="A9P2"/>
      <w:bookmarkEnd w:id="23"/>
      <w:r w:rsidRPr="001C09C0">
        <w:rPr>
          <w:rFonts w:ascii="Georgia"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1C09C0" w:rsidRPr="001C09C0" w:rsidRDefault="001C09C0" w:rsidP="001C09C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4" w:name="A10"/>
      <w:bookmarkEnd w:id="24"/>
      <w:r w:rsidRPr="001C09C0">
        <w:rPr>
          <w:rFonts w:ascii="Georgia" w:hAnsi="Georgia" w:cs="Arial"/>
          <w:i/>
          <w:iCs/>
          <w:color w:val="333333"/>
          <w:sz w:val="21"/>
          <w:szCs w:val="21"/>
          <w:lang w:val="es-ES"/>
        </w:rPr>
        <w:t>Artículo 10</w:t>
      </w:r>
    </w:p>
    <w:p w:rsidR="001C09C0" w:rsidRPr="001C09C0" w:rsidRDefault="001C09C0" w:rsidP="001C09C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1C09C0">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1C09C0" w:rsidRPr="001C09C0" w:rsidRDefault="001C09C0" w:rsidP="001C09C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5" w:name="A11"/>
      <w:bookmarkEnd w:id="25"/>
      <w:r w:rsidRPr="001C09C0">
        <w:rPr>
          <w:rFonts w:ascii="Georgia" w:hAnsi="Georgia" w:cs="Arial"/>
          <w:i/>
          <w:iCs/>
          <w:color w:val="333333"/>
          <w:sz w:val="21"/>
          <w:szCs w:val="21"/>
          <w:lang w:val="es-ES"/>
        </w:rPr>
        <w:t>Artículo 11</w:t>
      </w:r>
    </w:p>
    <w:p w:rsidR="001C09C0" w:rsidRPr="001C09C0" w:rsidRDefault="001C09C0" w:rsidP="001C09C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1C09C0">
        <w:rPr>
          <w:rFonts w:ascii="Georgia"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1C09C0" w:rsidRDefault="001C09C0" w:rsidP="001C09C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6" w:name="A12"/>
      <w:bookmarkEnd w:id="26"/>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12</w:t>
      </w:r>
    </w:p>
    <w:p w:rsidR="001C09C0" w:rsidRPr="001C09C0" w:rsidRDefault="001C09C0" w:rsidP="001C09C0">
      <w:pPr>
        <w:numPr>
          <w:ilvl w:val="0"/>
          <w:numId w:val="34"/>
        </w:numPr>
        <w:shd w:val="clear" w:color="auto" w:fill="FFFFFF"/>
        <w:spacing w:after="144" w:line="408" w:lineRule="atLeast"/>
        <w:ind w:left="0"/>
        <w:rPr>
          <w:rFonts w:ascii="Georgia" w:hAnsi="Georgia" w:cs="Arial"/>
          <w:color w:val="333333"/>
          <w:sz w:val="18"/>
          <w:szCs w:val="18"/>
          <w:lang w:val="es-ES"/>
        </w:rPr>
      </w:pPr>
      <w:bookmarkStart w:id="27" w:name="A12P1"/>
      <w:bookmarkEnd w:id="27"/>
      <w:r w:rsidRPr="001C09C0">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1C09C0" w:rsidRPr="001C09C0" w:rsidRDefault="001C09C0" w:rsidP="001C09C0">
      <w:pPr>
        <w:numPr>
          <w:ilvl w:val="1"/>
          <w:numId w:val="34"/>
        </w:numPr>
        <w:shd w:val="clear" w:color="auto" w:fill="FFFFFF"/>
        <w:spacing w:after="144" w:line="408" w:lineRule="atLeast"/>
        <w:ind w:left="480"/>
        <w:rPr>
          <w:rFonts w:ascii="Georgia" w:hAnsi="Georgia" w:cs="Arial"/>
          <w:color w:val="333333"/>
          <w:sz w:val="18"/>
          <w:szCs w:val="18"/>
          <w:lang w:val="es-ES"/>
        </w:rPr>
      </w:pPr>
      <w:r w:rsidRPr="001C09C0">
        <w:rPr>
          <w:rFonts w:ascii="Georgia" w:hAnsi="Georgia" w:cs="Arial"/>
          <w:color w:val="333333"/>
          <w:sz w:val="18"/>
          <w:szCs w:val="18"/>
          <w:lang w:val="es-ES"/>
        </w:rPr>
        <w:t>(a) la ratificación, por un Miembro, del nuevo convenio revisor implicará, ipso jure, la denuncia inmediata de este Convenio, no obstante las disposiciones contenidas en el artículo 8, siempre que el nuevo convenio revisor haya entrado en vigor;</w:t>
      </w:r>
    </w:p>
    <w:p w:rsidR="001C09C0" w:rsidRPr="001C09C0" w:rsidRDefault="001C09C0" w:rsidP="001C09C0">
      <w:pPr>
        <w:numPr>
          <w:ilvl w:val="1"/>
          <w:numId w:val="34"/>
        </w:numPr>
        <w:shd w:val="clear" w:color="auto" w:fill="FFFFFF"/>
        <w:spacing w:after="144" w:line="408" w:lineRule="atLeast"/>
        <w:ind w:left="480"/>
        <w:rPr>
          <w:rFonts w:ascii="Georgia" w:hAnsi="Georgia" w:cs="Arial"/>
          <w:color w:val="333333"/>
          <w:sz w:val="18"/>
          <w:szCs w:val="18"/>
          <w:lang w:val="es-ES"/>
        </w:rPr>
      </w:pPr>
      <w:r w:rsidRPr="001C09C0">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1C09C0" w:rsidRPr="001C09C0" w:rsidRDefault="001C09C0" w:rsidP="001C09C0">
      <w:pPr>
        <w:numPr>
          <w:ilvl w:val="0"/>
          <w:numId w:val="34"/>
        </w:numPr>
        <w:shd w:val="clear" w:color="auto" w:fill="FFFFFF"/>
        <w:spacing w:after="144" w:line="408" w:lineRule="atLeast"/>
        <w:ind w:left="0"/>
        <w:rPr>
          <w:rFonts w:ascii="Georgia" w:hAnsi="Georgia" w:cs="Arial"/>
          <w:color w:val="333333"/>
          <w:sz w:val="18"/>
          <w:szCs w:val="18"/>
          <w:lang w:val="es-ES"/>
        </w:rPr>
      </w:pPr>
      <w:bookmarkStart w:id="28" w:name="A12P2"/>
      <w:bookmarkEnd w:id="28"/>
      <w:r w:rsidRPr="001C09C0">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1C09C0" w:rsidRPr="001C09C0" w:rsidRDefault="001C09C0" w:rsidP="001C09C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9" w:name="A13"/>
      <w:bookmarkEnd w:id="29"/>
      <w:r w:rsidRPr="001C09C0">
        <w:rPr>
          <w:rFonts w:ascii="Georgia" w:hAnsi="Georgia" w:cs="Arial"/>
          <w:i/>
          <w:iCs/>
          <w:color w:val="333333"/>
          <w:sz w:val="21"/>
          <w:szCs w:val="21"/>
          <w:lang w:val="es-ES"/>
        </w:rPr>
        <w:t>Artículo 13</w:t>
      </w:r>
    </w:p>
    <w:p w:rsidR="001C09C0" w:rsidRPr="001C09C0" w:rsidRDefault="001C09C0" w:rsidP="001C09C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1C09C0">
        <w:rPr>
          <w:rFonts w:ascii="Georgia" w:hAnsi="Georgia" w:cs="Arial"/>
          <w:color w:val="333333"/>
          <w:sz w:val="18"/>
          <w:szCs w:val="18"/>
          <w:lang w:val="es-ES"/>
        </w:rPr>
        <w:t>Las versiones inglesa y francesa del texto de este Convenio son igualmente auténticas.</w:t>
      </w:r>
    </w:p>
    <w:p w:rsidR="0069165A" w:rsidRPr="001C09C0" w:rsidRDefault="0069165A" w:rsidP="001C09C0">
      <w:pPr>
        <w:rPr>
          <w:lang w:val="es-ES"/>
        </w:rPr>
      </w:pPr>
    </w:p>
    <w:sectPr w:rsidR="0069165A" w:rsidRPr="001C09C0"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3D" w:rsidRDefault="00DC1A3D" w:rsidP="00CA3249">
      <w:r>
        <w:separator/>
      </w:r>
    </w:p>
  </w:endnote>
  <w:endnote w:type="continuationSeparator" w:id="0">
    <w:p w:rsidR="00DC1A3D" w:rsidRDefault="00DC1A3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3D" w:rsidRDefault="00DC1A3D" w:rsidP="00CA3249">
      <w:r>
        <w:separator/>
      </w:r>
    </w:p>
  </w:footnote>
  <w:footnote w:type="continuationSeparator" w:id="0">
    <w:p w:rsidR="00DC1A3D" w:rsidRDefault="00DC1A3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D20"/>
    <w:multiLevelType w:val="multilevel"/>
    <w:tmpl w:val="F530B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97C9B"/>
    <w:multiLevelType w:val="multilevel"/>
    <w:tmpl w:val="1C3445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F7BF6"/>
    <w:multiLevelType w:val="multilevel"/>
    <w:tmpl w:val="E2821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86C52"/>
    <w:multiLevelType w:val="multilevel"/>
    <w:tmpl w:val="9BB4B0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24D1A"/>
    <w:multiLevelType w:val="multilevel"/>
    <w:tmpl w:val="2EB43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2470F"/>
    <w:multiLevelType w:val="multilevel"/>
    <w:tmpl w:val="83D29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C5CE0"/>
    <w:multiLevelType w:val="multilevel"/>
    <w:tmpl w:val="731C7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5F35C0"/>
    <w:multiLevelType w:val="multilevel"/>
    <w:tmpl w:val="8C701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7D5C0E"/>
    <w:multiLevelType w:val="multilevel"/>
    <w:tmpl w:val="8FEE0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3306F0"/>
    <w:multiLevelType w:val="multilevel"/>
    <w:tmpl w:val="8B326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06073B"/>
    <w:multiLevelType w:val="multilevel"/>
    <w:tmpl w:val="41CCB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B0690D"/>
    <w:multiLevelType w:val="multilevel"/>
    <w:tmpl w:val="B63A8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A53051"/>
    <w:multiLevelType w:val="multilevel"/>
    <w:tmpl w:val="B4408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76B3B"/>
    <w:multiLevelType w:val="multilevel"/>
    <w:tmpl w:val="1F0684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916525"/>
    <w:multiLevelType w:val="multilevel"/>
    <w:tmpl w:val="28BE61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207069"/>
    <w:multiLevelType w:val="multilevel"/>
    <w:tmpl w:val="91062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216141"/>
    <w:multiLevelType w:val="multilevel"/>
    <w:tmpl w:val="735AE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774598"/>
    <w:multiLevelType w:val="multilevel"/>
    <w:tmpl w:val="42A04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F47484"/>
    <w:multiLevelType w:val="multilevel"/>
    <w:tmpl w:val="99FCF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96017B"/>
    <w:multiLevelType w:val="multilevel"/>
    <w:tmpl w:val="110EC5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E31770"/>
    <w:multiLevelType w:val="multilevel"/>
    <w:tmpl w:val="B2261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E6114A"/>
    <w:multiLevelType w:val="multilevel"/>
    <w:tmpl w:val="1038B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9D6B56"/>
    <w:multiLevelType w:val="multilevel"/>
    <w:tmpl w:val="3D5A1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BB6DB9"/>
    <w:multiLevelType w:val="multilevel"/>
    <w:tmpl w:val="31864B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3C58FC"/>
    <w:multiLevelType w:val="multilevel"/>
    <w:tmpl w:val="25A0E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600835"/>
    <w:multiLevelType w:val="multilevel"/>
    <w:tmpl w:val="F1723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16061A"/>
    <w:multiLevelType w:val="multilevel"/>
    <w:tmpl w:val="6AF6F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8117BA"/>
    <w:multiLevelType w:val="multilevel"/>
    <w:tmpl w:val="F1BEAA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4C07D3"/>
    <w:multiLevelType w:val="multilevel"/>
    <w:tmpl w:val="9BFEC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FA787E"/>
    <w:multiLevelType w:val="multilevel"/>
    <w:tmpl w:val="A3880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D20816"/>
    <w:multiLevelType w:val="multilevel"/>
    <w:tmpl w:val="DC124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2F512A"/>
    <w:multiLevelType w:val="multilevel"/>
    <w:tmpl w:val="0FE42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075E5D"/>
    <w:multiLevelType w:val="multilevel"/>
    <w:tmpl w:val="A41C5F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343C34"/>
    <w:multiLevelType w:val="multilevel"/>
    <w:tmpl w:val="9A46E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0"/>
  </w:num>
  <w:num w:numId="4">
    <w:abstractNumId w:val="15"/>
  </w:num>
  <w:num w:numId="5">
    <w:abstractNumId w:val="29"/>
  </w:num>
  <w:num w:numId="6">
    <w:abstractNumId w:val="19"/>
  </w:num>
  <w:num w:numId="7">
    <w:abstractNumId w:val="24"/>
  </w:num>
  <w:num w:numId="8">
    <w:abstractNumId w:val="8"/>
  </w:num>
  <w:num w:numId="9">
    <w:abstractNumId w:val="21"/>
  </w:num>
  <w:num w:numId="10">
    <w:abstractNumId w:val="2"/>
  </w:num>
  <w:num w:numId="11">
    <w:abstractNumId w:val="26"/>
  </w:num>
  <w:num w:numId="12">
    <w:abstractNumId w:val="33"/>
  </w:num>
  <w:num w:numId="13">
    <w:abstractNumId w:val="18"/>
  </w:num>
  <w:num w:numId="14">
    <w:abstractNumId w:val="11"/>
  </w:num>
  <w:num w:numId="15">
    <w:abstractNumId w:val="7"/>
  </w:num>
  <w:num w:numId="16">
    <w:abstractNumId w:val="20"/>
  </w:num>
  <w:num w:numId="17">
    <w:abstractNumId w:val="27"/>
  </w:num>
  <w:num w:numId="18">
    <w:abstractNumId w:val="4"/>
  </w:num>
  <w:num w:numId="19">
    <w:abstractNumId w:val="6"/>
  </w:num>
  <w:num w:numId="20">
    <w:abstractNumId w:val="22"/>
  </w:num>
  <w:num w:numId="21">
    <w:abstractNumId w:val="25"/>
  </w:num>
  <w:num w:numId="22">
    <w:abstractNumId w:val="16"/>
  </w:num>
  <w:num w:numId="23">
    <w:abstractNumId w:val="10"/>
  </w:num>
  <w:num w:numId="24">
    <w:abstractNumId w:val="3"/>
  </w:num>
  <w:num w:numId="25">
    <w:abstractNumId w:val="28"/>
  </w:num>
  <w:num w:numId="26">
    <w:abstractNumId w:val="12"/>
  </w:num>
  <w:num w:numId="27">
    <w:abstractNumId w:val="9"/>
  </w:num>
  <w:num w:numId="28">
    <w:abstractNumId w:val="23"/>
  </w:num>
  <w:num w:numId="29">
    <w:abstractNumId w:val="32"/>
  </w:num>
  <w:num w:numId="30">
    <w:abstractNumId w:val="31"/>
  </w:num>
  <w:num w:numId="31">
    <w:abstractNumId w:val="17"/>
  </w:num>
  <w:num w:numId="32">
    <w:abstractNumId w:val="30"/>
  </w:num>
  <w:num w:numId="33">
    <w:abstractNumId w:val="5"/>
  </w:num>
  <w:num w:numId="34">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09C0"/>
    <w:rsid w:val="001C3662"/>
    <w:rsid w:val="001C682E"/>
    <w:rsid w:val="001D0886"/>
    <w:rsid w:val="001F6DBE"/>
    <w:rsid w:val="0020386C"/>
    <w:rsid w:val="00215FAC"/>
    <w:rsid w:val="00293BE8"/>
    <w:rsid w:val="002A0B75"/>
    <w:rsid w:val="003345B7"/>
    <w:rsid w:val="003350D2"/>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E6FF1"/>
    <w:rsid w:val="00604636"/>
    <w:rsid w:val="00661F04"/>
    <w:rsid w:val="0069165A"/>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F27BB"/>
    <w:rsid w:val="008F65E8"/>
    <w:rsid w:val="00900126"/>
    <w:rsid w:val="0090587B"/>
    <w:rsid w:val="00961279"/>
    <w:rsid w:val="009668A5"/>
    <w:rsid w:val="00973098"/>
    <w:rsid w:val="009824F9"/>
    <w:rsid w:val="00984279"/>
    <w:rsid w:val="00984D78"/>
    <w:rsid w:val="009864E0"/>
    <w:rsid w:val="009E2054"/>
    <w:rsid w:val="00A40F31"/>
    <w:rsid w:val="00A612DE"/>
    <w:rsid w:val="00A822F5"/>
    <w:rsid w:val="00AA0880"/>
    <w:rsid w:val="00AC5B22"/>
    <w:rsid w:val="00AD7531"/>
    <w:rsid w:val="00B07351"/>
    <w:rsid w:val="00B33B2C"/>
    <w:rsid w:val="00B41F95"/>
    <w:rsid w:val="00B47018"/>
    <w:rsid w:val="00B6302A"/>
    <w:rsid w:val="00B80F24"/>
    <w:rsid w:val="00BA1318"/>
    <w:rsid w:val="00BB77D2"/>
    <w:rsid w:val="00BD3CE9"/>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08993002">
      <w:bodyDiv w:val="1"/>
      <w:marLeft w:val="0"/>
      <w:marRight w:val="0"/>
      <w:marTop w:val="0"/>
      <w:marBottom w:val="0"/>
      <w:divBdr>
        <w:top w:val="none" w:sz="0" w:space="0" w:color="auto"/>
        <w:left w:val="none" w:sz="0" w:space="0" w:color="auto"/>
        <w:bottom w:val="none" w:sz="0" w:space="0" w:color="auto"/>
        <w:right w:val="none" w:sz="0" w:space="0" w:color="auto"/>
      </w:divBdr>
      <w:divsChild>
        <w:div w:id="612785354">
          <w:marLeft w:val="0"/>
          <w:marRight w:val="0"/>
          <w:marTop w:val="0"/>
          <w:marBottom w:val="225"/>
          <w:divBdr>
            <w:top w:val="none" w:sz="0" w:space="0" w:color="auto"/>
            <w:left w:val="none" w:sz="0" w:space="0" w:color="auto"/>
            <w:bottom w:val="none" w:sz="0" w:space="0" w:color="auto"/>
            <w:right w:val="none" w:sz="0" w:space="0" w:color="auto"/>
          </w:divBdr>
        </w:div>
        <w:div w:id="1406102870">
          <w:marLeft w:val="0"/>
          <w:marRight w:val="0"/>
          <w:marTop w:val="0"/>
          <w:marBottom w:val="0"/>
          <w:divBdr>
            <w:top w:val="none" w:sz="0" w:space="0" w:color="auto"/>
            <w:left w:val="none" w:sz="0" w:space="0" w:color="auto"/>
            <w:bottom w:val="none" w:sz="0" w:space="0" w:color="auto"/>
            <w:right w:val="none" w:sz="0" w:space="0" w:color="auto"/>
          </w:divBdr>
          <w:divsChild>
            <w:div w:id="1764642437">
              <w:marLeft w:val="0"/>
              <w:marRight w:val="0"/>
              <w:marTop w:val="0"/>
              <w:marBottom w:val="0"/>
              <w:divBdr>
                <w:top w:val="none" w:sz="0" w:space="0" w:color="auto"/>
                <w:left w:val="none" w:sz="0" w:space="0" w:color="auto"/>
                <w:bottom w:val="none" w:sz="0" w:space="0" w:color="auto"/>
                <w:right w:val="none" w:sz="0" w:space="0" w:color="auto"/>
              </w:divBdr>
              <w:divsChild>
                <w:div w:id="12379339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38177131">
      <w:bodyDiv w:val="1"/>
      <w:marLeft w:val="0"/>
      <w:marRight w:val="0"/>
      <w:marTop w:val="0"/>
      <w:marBottom w:val="0"/>
      <w:divBdr>
        <w:top w:val="none" w:sz="0" w:space="0" w:color="auto"/>
        <w:left w:val="none" w:sz="0" w:space="0" w:color="auto"/>
        <w:bottom w:val="none" w:sz="0" w:space="0" w:color="auto"/>
        <w:right w:val="none" w:sz="0" w:space="0" w:color="auto"/>
      </w:divBdr>
      <w:divsChild>
        <w:div w:id="1537542576">
          <w:marLeft w:val="0"/>
          <w:marRight w:val="0"/>
          <w:marTop w:val="0"/>
          <w:marBottom w:val="225"/>
          <w:divBdr>
            <w:top w:val="none" w:sz="0" w:space="0" w:color="auto"/>
            <w:left w:val="none" w:sz="0" w:space="0" w:color="auto"/>
            <w:bottom w:val="none" w:sz="0" w:space="0" w:color="auto"/>
            <w:right w:val="none" w:sz="0" w:space="0" w:color="auto"/>
          </w:divBdr>
        </w:div>
        <w:div w:id="1122922015">
          <w:marLeft w:val="0"/>
          <w:marRight w:val="0"/>
          <w:marTop w:val="0"/>
          <w:marBottom w:val="0"/>
          <w:divBdr>
            <w:top w:val="none" w:sz="0" w:space="0" w:color="auto"/>
            <w:left w:val="none" w:sz="0" w:space="0" w:color="auto"/>
            <w:bottom w:val="none" w:sz="0" w:space="0" w:color="auto"/>
            <w:right w:val="none" w:sz="0" w:space="0" w:color="auto"/>
          </w:divBdr>
          <w:divsChild>
            <w:div w:id="442194065">
              <w:marLeft w:val="0"/>
              <w:marRight w:val="0"/>
              <w:marTop w:val="0"/>
              <w:marBottom w:val="0"/>
              <w:divBdr>
                <w:top w:val="none" w:sz="0" w:space="0" w:color="auto"/>
                <w:left w:val="none" w:sz="0" w:space="0" w:color="auto"/>
                <w:bottom w:val="none" w:sz="0" w:space="0" w:color="auto"/>
                <w:right w:val="none" w:sz="0" w:space="0" w:color="auto"/>
              </w:divBdr>
              <w:divsChild>
                <w:div w:id="102401625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58340836">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5">
          <w:marLeft w:val="0"/>
          <w:marRight w:val="0"/>
          <w:marTop w:val="0"/>
          <w:marBottom w:val="225"/>
          <w:divBdr>
            <w:top w:val="none" w:sz="0" w:space="0" w:color="auto"/>
            <w:left w:val="none" w:sz="0" w:space="0" w:color="auto"/>
            <w:bottom w:val="none" w:sz="0" w:space="0" w:color="auto"/>
            <w:right w:val="none" w:sz="0" w:space="0" w:color="auto"/>
          </w:divBdr>
        </w:div>
        <w:div w:id="1725906446">
          <w:marLeft w:val="0"/>
          <w:marRight w:val="0"/>
          <w:marTop w:val="0"/>
          <w:marBottom w:val="0"/>
          <w:divBdr>
            <w:top w:val="none" w:sz="0" w:space="0" w:color="auto"/>
            <w:left w:val="none" w:sz="0" w:space="0" w:color="auto"/>
            <w:bottom w:val="none" w:sz="0" w:space="0" w:color="auto"/>
            <w:right w:val="none" w:sz="0" w:space="0" w:color="auto"/>
          </w:divBdr>
          <w:divsChild>
            <w:div w:id="1120227032">
              <w:marLeft w:val="0"/>
              <w:marRight w:val="0"/>
              <w:marTop w:val="0"/>
              <w:marBottom w:val="0"/>
              <w:divBdr>
                <w:top w:val="none" w:sz="0" w:space="0" w:color="auto"/>
                <w:left w:val="none" w:sz="0" w:space="0" w:color="auto"/>
                <w:bottom w:val="none" w:sz="0" w:space="0" w:color="auto"/>
                <w:right w:val="none" w:sz="0" w:space="0" w:color="auto"/>
              </w:divBdr>
              <w:divsChild>
                <w:div w:id="161193663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078138176">
      <w:bodyDiv w:val="1"/>
      <w:marLeft w:val="0"/>
      <w:marRight w:val="0"/>
      <w:marTop w:val="0"/>
      <w:marBottom w:val="0"/>
      <w:divBdr>
        <w:top w:val="none" w:sz="0" w:space="0" w:color="auto"/>
        <w:left w:val="none" w:sz="0" w:space="0" w:color="auto"/>
        <w:bottom w:val="none" w:sz="0" w:space="0" w:color="auto"/>
        <w:right w:val="none" w:sz="0" w:space="0" w:color="auto"/>
      </w:divBdr>
      <w:divsChild>
        <w:div w:id="508831772">
          <w:marLeft w:val="0"/>
          <w:marRight w:val="0"/>
          <w:marTop w:val="0"/>
          <w:marBottom w:val="225"/>
          <w:divBdr>
            <w:top w:val="none" w:sz="0" w:space="0" w:color="auto"/>
            <w:left w:val="none" w:sz="0" w:space="0" w:color="auto"/>
            <w:bottom w:val="none" w:sz="0" w:space="0" w:color="auto"/>
            <w:right w:val="none" w:sz="0" w:space="0" w:color="auto"/>
          </w:divBdr>
        </w:div>
        <w:div w:id="441533820">
          <w:marLeft w:val="0"/>
          <w:marRight w:val="0"/>
          <w:marTop w:val="0"/>
          <w:marBottom w:val="0"/>
          <w:divBdr>
            <w:top w:val="none" w:sz="0" w:space="0" w:color="auto"/>
            <w:left w:val="none" w:sz="0" w:space="0" w:color="auto"/>
            <w:bottom w:val="none" w:sz="0" w:space="0" w:color="auto"/>
            <w:right w:val="none" w:sz="0" w:space="0" w:color="auto"/>
          </w:divBdr>
          <w:divsChild>
            <w:div w:id="1617254587">
              <w:marLeft w:val="0"/>
              <w:marRight w:val="0"/>
              <w:marTop w:val="0"/>
              <w:marBottom w:val="0"/>
              <w:divBdr>
                <w:top w:val="none" w:sz="0" w:space="0" w:color="auto"/>
                <w:left w:val="none" w:sz="0" w:space="0" w:color="auto"/>
                <w:bottom w:val="none" w:sz="0" w:space="0" w:color="auto"/>
                <w:right w:val="none" w:sz="0" w:space="0" w:color="auto"/>
              </w:divBdr>
              <w:divsChild>
                <w:div w:id="160649441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 w:id="2096126862">
      <w:bodyDiv w:val="1"/>
      <w:marLeft w:val="0"/>
      <w:marRight w:val="0"/>
      <w:marTop w:val="0"/>
      <w:marBottom w:val="0"/>
      <w:divBdr>
        <w:top w:val="none" w:sz="0" w:space="0" w:color="auto"/>
        <w:left w:val="none" w:sz="0" w:space="0" w:color="auto"/>
        <w:bottom w:val="none" w:sz="0" w:space="0" w:color="auto"/>
        <w:right w:val="none" w:sz="0" w:space="0" w:color="auto"/>
      </w:divBdr>
      <w:divsChild>
        <w:div w:id="1678731975">
          <w:marLeft w:val="0"/>
          <w:marRight w:val="0"/>
          <w:marTop w:val="0"/>
          <w:marBottom w:val="225"/>
          <w:divBdr>
            <w:top w:val="none" w:sz="0" w:space="0" w:color="auto"/>
            <w:left w:val="none" w:sz="0" w:space="0" w:color="auto"/>
            <w:bottom w:val="none" w:sz="0" w:space="0" w:color="auto"/>
            <w:right w:val="none" w:sz="0" w:space="0" w:color="auto"/>
          </w:divBdr>
        </w:div>
        <w:div w:id="2066483140">
          <w:marLeft w:val="0"/>
          <w:marRight w:val="0"/>
          <w:marTop w:val="0"/>
          <w:marBottom w:val="0"/>
          <w:divBdr>
            <w:top w:val="none" w:sz="0" w:space="0" w:color="auto"/>
            <w:left w:val="none" w:sz="0" w:space="0" w:color="auto"/>
            <w:bottom w:val="none" w:sz="0" w:space="0" w:color="auto"/>
            <w:right w:val="none" w:sz="0" w:space="0" w:color="auto"/>
          </w:divBdr>
          <w:divsChild>
            <w:div w:id="626280503">
              <w:marLeft w:val="0"/>
              <w:marRight w:val="0"/>
              <w:marTop w:val="0"/>
              <w:marBottom w:val="0"/>
              <w:divBdr>
                <w:top w:val="none" w:sz="0" w:space="0" w:color="auto"/>
                <w:left w:val="none" w:sz="0" w:space="0" w:color="auto"/>
                <w:bottom w:val="none" w:sz="0" w:space="0" w:color="auto"/>
                <w:right w:val="none" w:sz="0" w:space="0" w:color="auto"/>
              </w:divBdr>
              <w:divsChild>
                <w:div w:id="23698733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C5FC-55C4-4ECB-B4DD-91FB3366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2</cp:revision>
  <dcterms:created xsi:type="dcterms:W3CDTF">2012-11-27T22:20:00Z</dcterms:created>
  <dcterms:modified xsi:type="dcterms:W3CDTF">2012-11-27T22:20:00Z</dcterms:modified>
</cp:coreProperties>
</file>